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5" w:rsidRDefault="004F79C5" w:rsidP="004F79C5">
      <w:pPr>
        <w:spacing w:before="100" w:beforeAutospacing="1" w:after="160" w:line="252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 szkolenia  Z</w:t>
      </w:r>
      <w:r w:rsidRPr="004F79C5">
        <w:rPr>
          <w:rFonts w:ascii="Arial" w:hAnsi="Arial" w:cs="Arial"/>
          <w:sz w:val="32"/>
          <w:szCs w:val="32"/>
        </w:rPr>
        <w:t>amknięcie roku 2024</w:t>
      </w:r>
    </w:p>
    <w:p w:rsidR="004F79C5" w:rsidRPr="004F79C5" w:rsidRDefault="004F79C5" w:rsidP="004F79C5">
      <w:pPr>
        <w:spacing w:before="100" w:beforeAutospacing="1" w:after="160" w:line="252" w:lineRule="auto"/>
        <w:jc w:val="center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10-11 grudnia 2024 r. 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b/>
          <w:bCs/>
          <w:sz w:val="22"/>
          <w:szCs w:val="22"/>
        </w:rPr>
        <w:t>Część Bilansowa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1. Kogo dotyczą uproszczone zasady podpisywania sprawozdań finansowych?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 2. Harmonogram prac bilansowych, które należy zakończyć w marcu 2025 r.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3. Wprowadzenie do sprawozdania finansowego jako istotna część informacji dodatkowej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4. Obowiązek poddania ocenie zasadności przyjętego założenia kontynuacji działalności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5.  Wyjaśnienie  i rozliczenie  różnic inwentaryzacyjnych za 2024 r.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6. Spis z natury w formie elektronicznej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7.    Rezerwa na niedoszacowane koszty 2024 r. - jej cel i zasady tworzenia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8.  Wskazówki praktyczne jak sporządzić i zweryfikować w Spółdzielni sprawozdanie finansowe: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  analiza i kontrola majątku trwałego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 analiza i  weryfikacja towarów i produkcji niezakończonej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 analiza funduszy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 kiedy rezerwy i RMK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 sprawdzenie zobowiązań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- kontrola ZFSS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9.    Uwzględnienie w księgach rachunkowych utraty wartości towarów handlowych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10.    Ujęcie w księgach faktur dotyczących zakupu towarów, wystawionych w styczniu z datą sprzedaży w grudniu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11. Podpisywanie sprawozdań finansowych za 2024r (formy i rodzaje oświadczeń)</w:t>
      </w:r>
      <w:r>
        <w:rPr>
          <w:rFonts w:ascii="Arial" w:hAnsi="Arial" w:cs="Arial"/>
          <w:sz w:val="22"/>
          <w:szCs w:val="22"/>
        </w:rPr>
        <w:br/>
        <w:t>12.  Uproszczenia w ewidencji księgowej oraz w sprawozdaniach  możliwych do zastosowania  w Spółdzielniach mikro, małych i pozostałych (jak przygotować również uchwałę o stosowanych uproszczeniach)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13. Najczęściej popełniane błędy w trakcie sporządzenia Sprawozdania finansowego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14. Rezerwy na świadczenia pracownicze (rezerwy aktuarialne) - obowiązek tworzenia, możliwość rezygnacji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lastRenderedPageBreak/>
        <w:t>15.   Koszty poniesione po dniu sporządzenia sprawozdania finansowego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16. Ujmowanie przychodów zgodnie z nowym Krajowym Standardem Rachunkowości nr 15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 xml:space="preserve">„Przychody ze sprzedaży wyrobów, półproduktów, towarów i materiałów”  w kontekście Spółdzielni: 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− Zasady ustalania i ujmowania przychodów ze sprzedaży dóbr 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− Umowy sprzedaży zawarte na szczególnych warunkach.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MS Gothic" w:eastAsia="MS Gothic" w:hAnsi="MS Gothic" w:hint="eastAsia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 xml:space="preserve"> Sprzedaż promocyjna.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MS Gothic" w:eastAsia="MS Gothic" w:hAnsi="MS Gothic" w:hint="eastAsia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 xml:space="preserve"> Pomniejszenie przychodów o zwroty.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MS Gothic" w:eastAsia="MS Gothic" w:hAnsi="MS Gothic" w:hint="eastAsia"/>
          <w:sz w:val="22"/>
          <w:szCs w:val="22"/>
        </w:rPr>
        <w:t>✓</w:t>
      </w:r>
      <w:r>
        <w:rPr>
          <w:rFonts w:ascii="Arial" w:hAnsi="Arial" w:cs="Arial"/>
          <w:sz w:val="22"/>
          <w:szCs w:val="22"/>
        </w:rPr>
        <w:t xml:space="preserve"> Rabaty i opusty.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17. Przygotowanie do wysyłania plików JPK _KR  oraz JPK_STR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b/>
          <w:bCs/>
          <w:sz w:val="22"/>
          <w:szCs w:val="22"/>
        </w:rPr>
        <w:t xml:space="preserve">Część Podatkowa 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b/>
          <w:bCs/>
          <w:sz w:val="22"/>
          <w:szCs w:val="22"/>
        </w:rPr>
        <w:t>I. PODATEK DOCHODOWY OD OSÓB PRAWNYCH</w:t>
      </w:r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1. Ogólne obowiązki związane z zamknięciem roku, sprawozdawczość podatkowa</w:t>
      </w:r>
    </w:p>
    <w:p w:rsidR="004F79C5" w:rsidRDefault="004F79C5" w:rsidP="004F79C5">
      <w:pPr>
        <w:numPr>
          <w:ilvl w:val="0"/>
          <w:numId w:val="1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Przychody wyłączone z opodatkowania – niepodlegające ustawie</w:t>
      </w:r>
    </w:p>
    <w:p w:rsidR="004F79C5" w:rsidRDefault="004F79C5" w:rsidP="004F79C5">
      <w:pPr>
        <w:numPr>
          <w:ilvl w:val="0"/>
          <w:numId w:val="1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Formularze zeznań rocznych i inne dokumentacje; ewidencje rachunkowe jako podstawa do sporządzenia zeznania</w:t>
      </w:r>
    </w:p>
    <w:p w:rsidR="004F79C5" w:rsidRDefault="004F79C5" w:rsidP="004F79C5">
      <w:pPr>
        <w:numPr>
          <w:ilvl w:val="0"/>
          <w:numId w:val="1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Obowiązki płatników po zakończeniu roku podatkowego</w:t>
      </w:r>
    </w:p>
    <w:p w:rsidR="004F79C5" w:rsidRDefault="004F79C5" w:rsidP="004F79C5">
      <w:pPr>
        <w:numPr>
          <w:ilvl w:val="0"/>
          <w:numId w:val="1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Dochody z zysków kapitałowych oraz dochody osiągnięte z innych źródeł przychodów</w:t>
      </w:r>
    </w:p>
    <w:p w:rsidR="004F79C5" w:rsidRDefault="004F79C5" w:rsidP="004F79C5">
      <w:pPr>
        <w:numPr>
          <w:ilvl w:val="0"/>
          <w:numId w:val="1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Koszty niestanowiące kosztów uzyskania przychodów w kontekście Spółdzielni</w:t>
      </w:r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2. Przychody, w tym przychody na przełomie lat podatkowych, przykłady rozliczania mediów, usług budowlanych, refaktur</w:t>
      </w:r>
    </w:p>
    <w:p w:rsidR="004F79C5" w:rsidRDefault="004F79C5" w:rsidP="004F79C5">
      <w:pPr>
        <w:numPr>
          <w:ilvl w:val="0"/>
          <w:numId w:val="2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Moment powstania przychodów (przychody z działalności gospodarczej, wydanie rzeczy, wykonanie usługi, wystawienie faktury, zapłata) z uwzględnieniem zasad rozliczania korekt faktur sprzedaży</w:t>
      </w:r>
    </w:p>
    <w:p w:rsidR="004F79C5" w:rsidRDefault="004F79C5" w:rsidP="004F79C5">
      <w:pPr>
        <w:numPr>
          <w:ilvl w:val="0"/>
          <w:numId w:val="2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Katalog przychodów i wyłączenia</w:t>
      </w:r>
    </w:p>
    <w:p w:rsidR="004F79C5" w:rsidRDefault="004F79C5" w:rsidP="004F79C5">
      <w:pPr>
        <w:numPr>
          <w:ilvl w:val="0"/>
          <w:numId w:val="2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Umorzone zobowiązania i przedawnione należności, kiedy wykazać koszt podatkowy a kiedy przychód podatkowy z uwzględnieniem dokonywanych odpisów aktualizujących</w:t>
      </w:r>
      <w:bookmarkStart w:id="0" w:name="_GoBack"/>
      <w:bookmarkEnd w:id="0"/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3. Koszty uzyskania przychodu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lastRenderedPageBreak/>
        <w:t>Koszty uzyskania przychodu, w tym koszty na przełomie lat podatkowych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Definicja kosztów uzyskania przychodu i zasady dokumentowania kosztów z uwzględnieniem zmian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Koszty bezpośrednie i pośrednie na przykładach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Koszty wytworzenia – ujęcie podatkowe, kiedy zwiększamy wartość początkową środka trwałego w aspekcie dokonywanych odpisów amortyzacyjnych podatkowo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Wydatki niestanowiące kosztów uzyskania przychodu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Amortyzacja podatkowa i rozliczanie dotacji, leasing operacyjny i finansowy jako koszt podatkowy</w:t>
      </w:r>
    </w:p>
    <w:p w:rsidR="004F79C5" w:rsidRDefault="004F79C5" w:rsidP="004F79C5">
      <w:pPr>
        <w:numPr>
          <w:ilvl w:val="0"/>
          <w:numId w:val="3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Odliczenia od dochodu i podatku</w:t>
      </w:r>
    </w:p>
    <w:p w:rsidR="004F79C5" w:rsidRDefault="004F79C5" w:rsidP="004F79C5">
      <w:pPr>
        <w:numPr>
          <w:ilvl w:val="1"/>
          <w:numId w:val="4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straty z lat ubiegłych, nowe zasady rozliczania i przedawnienia</w:t>
      </w:r>
    </w:p>
    <w:p w:rsidR="004F79C5" w:rsidRDefault="004F79C5" w:rsidP="004F79C5">
      <w:pPr>
        <w:numPr>
          <w:ilvl w:val="1"/>
          <w:numId w:val="4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darowizny, jak dokumentować?</w:t>
      </w:r>
    </w:p>
    <w:p w:rsidR="004F79C5" w:rsidRDefault="004F79C5" w:rsidP="004F79C5">
      <w:pPr>
        <w:spacing w:before="100" w:beforeAutospacing="1" w:after="160" w:line="252" w:lineRule="auto"/>
      </w:pPr>
      <w:r>
        <w:rPr>
          <w:rFonts w:ascii="Arial" w:hAnsi="Arial" w:cs="Arial"/>
          <w:b/>
          <w:bCs/>
          <w:sz w:val="22"/>
          <w:szCs w:val="22"/>
        </w:rPr>
        <w:t>II. PODATEK OD TOWARÓW I USŁUG</w:t>
      </w:r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1. Powstanie obowiązku podatkowego w przypadku transakcji realizowanych na przełomie roku podatkowego</w:t>
      </w:r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2. Roczna korekta podatku naliczonego</w:t>
      </w:r>
    </w:p>
    <w:p w:rsidR="004F79C5" w:rsidRDefault="004F79C5" w:rsidP="004F79C5">
      <w:pPr>
        <w:numPr>
          <w:ilvl w:val="0"/>
          <w:numId w:val="5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>Podmioty zobligowane do rozliczania VAT za pomocą proporcji</w:t>
      </w:r>
    </w:p>
    <w:p w:rsidR="004F79C5" w:rsidRDefault="004F79C5" w:rsidP="004F79C5">
      <w:pPr>
        <w:numPr>
          <w:ilvl w:val="0"/>
          <w:numId w:val="5"/>
        </w:numPr>
        <w:spacing w:before="100" w:beforeAutospacing="1" w:after="160" w:line="252" w:lineRule="auto"/>
      </w:pPr>
      <w:r>
        <w:rPr>
          <w:rFonts w:ascii="Arial" w:hAnsi="Arial" w:cs="Arial"/>
          <w:sz w:val="22"/>
          <w:szCs w:val="22"/>
        </w:rPr>
        <w:t xml:space="preserve">Ustalenie proporcji, ustalenie </w:t>
      </w:r>
      <w:proofErr w:type="spellStart"/>
      <w:r>
        <w:rPr>
          <w:rFonts w:ascii="Arial" w:hAnsi="Arial" w:cs="Arial"/>
          <w:sz w:val="22"/>
          <w:szCs w:val="22"/>
        </w:rPr>
        <w:t>prewspółczynnika</w:t>
      </w:r>
      <w:proofErr w:type="spellEnd"/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3. Zmiany w podatku od towarów i usług</w:t>
      </w:r>
    </w:p>
    <w:p w:rsidR="004F79C5" w:rsidRPr="004F79C5" w:rsidRDefault="004F79C5" w:rsidP="004F79C5">
      <w:pPr>
        <w:spacing w:before="100" w:beforeAutospacing="1" w:after="160" w:line="252" w:lineRule="auto"/>
      </w:pPr>
      <w:r w:rsidRPr="004F79C5">
        <w:rPr>
          <w:rFonts w:ascii="Arial" w:hAnsi="Arial" w:cs="Arial"/>
          <w:bCs/>
          <w:sz w:val="22"/>
          <w:szCs w:val="22"/>
        </w:rPr>
        <w:t>4. Najnowsze orzecznictwo oraz wybrane interpretacje</w:t>
      </w:r>
    </w:p>
    <w:p w:rsidR="007510F2" w:rsidRDefault="007510F2"/>
    <w:sectPr w:rsidR="0075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588"/>
    <w:multiLevelType w:val="multilevel"/>
    <w:tmpl w:val="9BC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412A0"/>
    <w:multiLevelType w:val="multilevel"/>
    <w:tmpl w:val="870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C55B4"/>
    <w:multiLevelType w:val="multilevel"/>
    <w:tmpl w:val="4D24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D63DD8"/>
    <w:multiLevelType w:val="multilevel"/>
    <w:tmpl w:val="9D1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205F8F"/>
    <w:multiLevelType w:val="multilevel"/>
    <w:tmpl w:val="6F8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C5"/>
    <w:rsid w:val="004F79C5"/>
    <w:rsid w:val="007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2024-11-07T12:10:00Z</dcterms:created>
  <dcterms:modified xsi:type="dcterms:W3CDTF">2024-11-07T12:11:00Z</dcterms:modified>
</cp:coreProperties>
</file>